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D6" w:rsidRDefault="00FA5AD6" w:rsidP="001054B2">
      <w:pPr>
        <w:pStyle w:val="NoSpacing"/>
      </w:pPr>
      <w:bookmarkStart w:id="0" w:name="_GoBack"/>
      <w:bookmarkEnd w:id="0"/>
    </w:p>
    <w:p w:rsidR="001054B2" w:rsidRDefault="001054B2" w:rsidP="001054B2">
      <w:pPr>
        <w:pStyle w:val="NoSpacing"/>
      </w:pPr>
      <w:r>
        <w:t>The budget proposed for the fiscal year July 2014 to June 2015 is $35,155 or 20% lower tha</w:t>
      </w:r>
      <w:r w:rsidR="007272C9">
        <w:t>n</w:t>
      </w:r>
      <w:r>
        <w:t xml:space="preserve"> the $43,987 projection for the current fiscal year.</w:t>
      </w:r>
    </w:p>
    <w:p w:rsidR="007272C9" w:rsidRDefault="007272C9" w:rsidP="001054B2">
      <w:pPr>
        <w:pStyle w:val="NoSpacing"/>
      </w:pPr>
    </w:p>
    <w:p w:rsidR="00A36673" w:rsidRDefault="007272C9" w:rsidP="001054B2">
      <w:pPr>
        <w:pStyle w:val="NoSpacing"/>
      </w:pPr>
      <w:r>
        <w:t xml:space="preserve">The decrease in revenue is because two Pathfinder events were held in the current fiscal year due to changing the timing of the event from the fall to the spring. The October and April events generated profit of $6,300 and $12,300, respectively. A 13% increase in membership revenue has been </w:t>
      </w:r>
      <w:r w:rsidR="000666B3">
        <w:t>budgeted;</w:t>
      </w:r>
      <w:r>
        <w:t xml:space="preserve"> </w:t>
      </w:r>
      <w:r w:rsidR="00A36673">
        <w:t>$575 of the increase is from a $5 increase in membership dues and the remainder due to the timing of the annual meeting anticipating more renewals occurring in July.</w:t>
      </w:r>
      <w:r w:rsidR="00EC6F52">
        <w:t xml:space="preserve"> </w:t>
      </w:r>
      <w:r w:rsidR="00A36673">
        <w:t>Also included in the budget is a salary increase from $14 to $15 per hour</w:t>
      </w:r>
      <w:r w:rsidR="00EC6F52">
        <w:t>;</w:t>
      </w:r>
      <w:r w:rsidR="00A36673">
        <w:t xml:space="preserve"> $1,125 including payroll taxes.</w:t>
      </w:r>
    </w:p>
    <w:p w:rsidR="00A36673" w:rsidRDefault="00A36673" w:rsidP="001054B2">
      <w:pPr>
        <w:pStyle w:val="NoSpacing"/>
      </w:pPr>
    </w:p>
    <w:p w:rsidR="00A36673" w:rsidRDefault="00A36673" w:rsidP="001054B2">
      <w:pPr>
        <w:pStyle w:val="NoSpacing"/>
      </w:pPr>
      <w:r>
        <w:t>Following is a comparison of revenue by source:</w:t>
      </w:r>
    </w:p>
    <w:p w:rsidR="00A36673" w:rsidRDefault="00A36673" w:rsidP="001054B2">
      <w:pPr>
        <w:pStyle w:val="NoSpacing"/>
      </w:pPr>
    </w:p>
    <w:p w:rsidR="00A36673" w:rsidRDefault="00A36673" w:rsidP="001054B2">
      <w:pPr>
        <w:pStyle w:val="NoSpacing"/>
      </w:pPr>
      <w:r w:rsidRPr="00A36673">
        <w:rPr>
          <w:noProof/>
        </w:rPr>
        <w:drawing>
          <wp:inline distT="0" distB="0" distL="0" distR="0">
            <wp:extent cx="5400675" cy="22002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6673" w:rsidRDefault="00A36673" w:rsidP="001054B2">
      <w:pPr>
        <w:pStyle w:val="NoSpacing"/>
      </w:pPr>
    </w:p>
    <w:p w:rsidR="0089423E" w:rsidRDefault="0089423E" w:rsidP="001054B2">
      <w:pPr>
        <w:pStyle w:val="NoSpacing"/>
      </w:pPr>
    </w:p>
    <w:p w:rsidR="0089423E" w:rsidRDefault="00A36673" w:rsidP="001054B2">
      <w:pPr>
        <w:pStyle w:val="NoSpacing"/>
      </w:pPr>
      <w:r>
        <w:t>Following are the budgeted revenues by source:</w:t>
      </w:r>
    </w:p>
    <w:p w:rsidR="0089423E" w:rsidRDefault="0089423E" w:rsidP="0089423E">
      <w:pPr>
        <w:pStyle w:val="NoSpacing"/>
        <w:jc w:val="right"/>
      </w:pPr>
    </w:p>
    <w:p w:rsidR="00A36673" w:rsidRDefault="00A36673" w:rsidP="001054B2">
      <w:pPr>
        <w:pStyle w:val="NoSpacing"/>
      </w:pPr>
      <w:r w:rsidRPr="00A36673">
        <w:rPr>
          <w:noProof/>
        </w:rPr>
        <w:drawing>
          <wp:inline distT="0" distB="0" distL="0" distR="0">
            <wp:extent cx="5095875" cy="268605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A36673" w:rsidSect="00FA5AD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53" w:rsidRDefault="00627453" w:rsidP="001054B2">
      <w:pPr>
        <w:spacing w:after="0" w:line="240" w:lineRule="auto"/>
      </w:pPr>
      <w:r>
        <w:separator/>
      </w:r>
    </w:p>
  </w:endnote>
  <w:endnote w:type="continuationSeparator" w:id="0">
    <w:p w:rsidR="00627453" w:rsidRDefault="00627453" w:rsidP="0010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3E" w:rsidRDefault="0089423E">
    <w:pPr>
      <w:pStyle w:val="Footer"/>
    </w:pPr>
    <w:r>
      <w:t>Budget Committee</w:t>
    </w:r>
  </w:p>
  <w:p w:rsidR="0089423E" w:rsidRDefault="0089423E">
    <w:pPr>
      <w:pStyle w:val="Footer"/>
    </w:pPr>
    <w:r>
      <w:t>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53" w:rsidRDefault="00627453" w:rsidP="001054B2">
      <w:pPr>
        <w:spacing w:after="0" w:line="240" w:lineRule="auto"/>
      </w:pPr>
      <w:r>
        <w:separator/>
      </w:r>
    </w:p>
  </w:footnote>
  <w:footnote w:type="continuationSeparator" w:id="0">
    <w:p w:rsidR="00627453" w:rsidRDefault="00627453" w:rsidP="00105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B2" w:rsidRPr="00520967" w:rsidRDefault="001054B2" w:rsidP="001054B2">
    <w:pPr>
      <w:pStyle w:val="Header"/>
      <w:jc w:val="center"/>
      <w:rPr>
        <w:sz w:val="28"/>
        <w:szCs w:val="28"/>
      </w:rPr>
    </w:pPr>
    <w:r w:rsidRPr="00520967">
      <w:rPr>
        <w:sz w:val="28"/>
        <w:szCs w:val="28"/>
      </w:rPr>
      <w:t>League of Women Voters of Metropolitan Tulsa</w:t>
    </w:r>
  </w:p>
  <w:p w:rsidR="001054B2" w:rsidRPr="00520967" w:rsidRDefault="001054B2" w:rsidP="001054B2">
    <w:pPr>
      <w:pStyle w:val="Header"/>
      <w:jc w:val="center"/>
      <w:rPr>
        <w:sz w:val="28"/>
        <w:szCs w:val="28"/>
      </w:rPr>
    </w:pPr>
    <w:r w:rsidRPr="00520967">
      <w:rPr>
        <w:sz w:val="28"/>
        <w:szCs w:val="28"/>
      </w:rPr>
      <w:t>Proposed Budget</w:t>
    </w:r>
  </w:p>
  <w:p w:rsidR="001054B2" w:rsidRPr="00520967" w:rsidRDefault="001054B2" w:rsidP="001054B2">
    <w:pPr>
      <w:pStyle w:val="Header"/>
      <w:jc w:val="center"/>
      <w:rPr>
        <w:sz w:val="28"/>
        <w:szCs w:val="28"/>
      </w:rPr>
    </w:pPr>
    <w:r w:rsidRPr="00520967">
      <w:rPr>
        <w:sz w:val="28"/>
        <w:szCs w:val="28"/>
      </w:rPr>
      <w:t>Fiscal year 2014/15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B2"/>
    <w:rsid w:val="000666B3"/>
    <w:rsid w:val="001054B2"/>
    <w:rsid w:val="003D51D8"/>
    <w:rsid w:val="00520967"/>
    <w:rsid w:val="00627453"/>
    <w:rsid w:val="007272C9"/>
    <w:rsid w:val="008810E6"/>
    <w:rsid w:val="0088204D"/>
    <w:rsid w:val="0089423E"/>
    <w:rsid w:val="00A36673"/>
    <w:rsid w:val="00E625B4"/>
    <w:rsid w:val="00EC6F52"/>
    <w:rsid w:val="00FA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4B2"/>
  </w:style>
  <w:style w:type="paragraph" w:styleId="Footer">
    <w:name w:val="footer"/>
    <w:basedOn w:val="Normal"/>
    <w:link w:val="FooterChar"/>
    <w:uiPriority w:val="99"/>
    <w:unhideWhenUsed/>
    <w:rsid w:val="0010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4B2"/>
  </w:style>
  <w:style w:type="paragraph" w:styleId="NoSpacing">
    <w:name w:val="No Spacing"/>
    <w:uiPriority w:val="1"/>
    <w:qFormat/>
    <w:rsid w:val="001054B2"/>
    <w:pPr>
      <w:spacing w:after="0" w:line="240" w:lineRule="auto"/>
    </w:pPr>
  </w:style>
  <w:style w:type="paragraph" w:styleId="BalloonText">
    <w:name w:val="Balloon Text"/>
    <w:basedOn w:val="Normal"/>
    <w:link w:val="BalloonTextChar"/>
    <w:uiPriority w:val="99"/>
    <w:semiHidden/>
    <w:unhideWhenUsed/>
    <w:rsid w:val="00A3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4B2"/>
  </w:style>
  <w:style w:type="paragraph" w:styleId="Footer">
    <w:name w:val="footer"/>
    <w:basedOn w:val="Normal"/>
    <w:link w:val="FooterChar"/>
    <w:uiPriority w:val="99"/>
    <w:unhideWhenUsed/>
    <w:rsid w:val="0010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4B2"/>
  </w:style>
  <w:style w:type="paragraph" w:styleId="NoSpacing">
    <w:name w:val="No Spacing"/>
    <w:uiPriority w:val="1"/>
    <w:qFormat/>
    <w:rsid w:val="001054B2"/>
    <w:pPr>
      <w:spacing w:after="0" w:line="240" w:lineRule="auto"/>
    </w:pPr>
  </w:style>
  <w:style w:type="paragraph" w:styleId="BalloonText">
    <w:name w:val="Balloon Text"/>
    <w:basedOn w:val="Normal"/>
    <w:link w:val="BalloonTextChar"/>
    <w:uiPriority w:val="99"/>
    <w:semiHidden/>
    <w:unhideWhenUsed/>
    <w:rsid w:val="00A3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hleen%20Kastelic\AppData\Local\Microsoft\Windows\Temporary%20Internet%20Files\Content.IE5\0FMVIOGB\Contribution%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hleen%20Kastelic\AppData\Local\Microsoft\Windows\Temporary%20Internet%20Files\Content.IE5\0FMVIOGB\Contribution%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 (2)'!$B$1</c:f>
              <c:strCache>
                <c:ptCount val="1"/>
                <c:pt idx="0">
                  <c:v>2014/15 Budget</c:v>
                </c:pt>
              </c:strCache>
            </c:strRef>
          </c:tx>
          <c:invertIfNegative val="0"/>
          <c:cat>
            <c:strRef>
              <c:f>'Sheet1 (2)'!$A$2:$A$7</c:f>
              <c:strCache>
                <c:ptCount val="6"/>
                <c:pt idx="0">
                  <c:v>Membership</c:v>
                </c:pt>
                <c:pt idx="1">
                  <c:v>Contribtutions</c:v>
                </c:pt>
                <c:pt idx="2">
                  <c:v>Pathfinder</c:v>
                </c:pt>
                <c:pt idx="3">
                  <c:v>Office sharing</c:v>
                </c:pt>
                <c:pt idx="4">
                  <c:v>Other</c:v>
                </c:pt>
                <c:pt idx="5">
                  <c:v>Total</c:v>
                </c:pt>
              </c:strCache>
            </c:strRef>
          </c:cat>
          <c:val>
            <c:numRef>
              <c:f>'Sheet1 (2)'!$B$2:$B$7</c:f>
              <c:numCache>
                <c:formatCode>_("$"* #,##0_);_("$"* \(#,##0\);_("$"* "-"_);_(@_)</c:formatCode>
                <c:ptCount val="6"/>
                <c:pt idx="0">
                  <c:v>6450</c:v>
                </c:pt>
                <c:pt idx="1">
                  <c:v>7305</c:v>
                </c:pt>
                <c:pt idx="2">
                  <c:v>8000</c:v>
                </c:pt>
                <c:pt idx="3">
                  <c:v>11000</c:v>
                </c:pt>
                <c:pt idx="4">
                  <c:v>2400</c:v>
                </c:pt>
                <c:pt idx="5">
                  <c:v>35155</c:v>
                </c:pt>
              </c:numCache>
            </c:numRef>
          </c:val>
        </c:ser>
        <c:ser>
          <c:idx val="1"/>
          <c:order val="1"/>
          <c:tx>
            <c:strRef>
              <c:f>'Sheet1 (2)'!$C$1</c:f>
              <c:strCache>
                <c:ptCount val="1"/>
                <c:pt idx="0">
                  <c:v>2013/14 Projection</c:v>
                </c:pt>
              </c:strCache>
            </c:strRef>
          </c:tx>
          <c:invertIfNegative val="0"/>
          <c:cat>
            <c:strRef>
              <c:f>'Sheet1 (2)'!$A$2:$A$7</c:f>
              <c:strCache>
                <c:ptCount val="6"/>
                <c:pt idx="0">
                  <c:v>Membership</c:v>
                </c:pt>
                <c:pt idx="1">
                  <c:v>Contribtutions</c:v>
                </c:pt>
                <c:pt idx="2">
                  <c:v>Pathfinder</c:v>
                </c:pt>
                <c:pt idx="3">
                  <c:v>Office sharing</c:v>
                </c:pt>
                <c:pt idx="4">
                  <c:v>Other</c:v>
                </c:pt>
                <c:pt idx="5">
                  <c:v>Total</c:v>
                </c:pt>
              </c:strCache>
            </c:strRef>
          </c:cat>
          <c:val>
            <c:numRef>
              <c:f>'Sheet1 (2)'!$C$2:$C$7</c:f>
              <c:numCache>
                <c:formatCode>_("$"* #,##0_);_("$"* \(#,##0\);_("$"* "-"_);_(@_)</c:formatCode>
                <c:ptCount val="6"/>
                <c:pt idx="0">
                  <c:v>5705</c:v>
                </c:pt>
                <c:pt idx="1">
                  <c:v>6383</c:v>
                </c:pt>
                <c:pt idx="2">
                  <c:v>18602</c:v>
                </c:pt>
                <c:pt idx="3">
                  <c:v>10750</c:v>
                </c:pt>
                <c:pt idx="4">
                  <c:v>2457</c:v>
                </c:pt>
                <c:pt idx="5">
                  <c:v>43897</c:v>
                </c:pt>
              </c:numCache>
            </c:numRef>
          </c:val>
        </c:ser>
        <c:dLbls>
          <c:showLegendKey val="0"/>
          <c:showVal val="0"/>
          <c:showCatName val="0"/>
          <c:showSerName val="0"/>
          <c:showPercent val="0"/>
          <c:showBubbleSize val="0"/>
        </c:dLbls>
        <c:gapWidth val="150"/>
        <c:axId val="200208384"/>
        <c:axId val="200209920"/>
      </c:barChart>
      <c:catAx>
        <c:axId val="200208384"/>
        <c:scaling>
          <c:orientation val="minMax"/>
        </c:scaling>
        <c:delete val="0"/>
        <c:axPos val="b"/>
        <c:majorTickMark val="out"/>
        <c:minorTickMark val="none"/>
        <c:tickLblPos val="nextTo"/>
        <c:crossAx val="200209920"/>
        <c:crosses val="autoZero"/>
        <c:auto val="1"/>
        <c:lblAlgn val="ctr"/>
        <c:lblOffset val="100"/>
        <c:noMultiLvlLbl val="0"/>
      </c:catAx>
      <c:valAx>
        <c:axId val="200209920"/>
        <c:scaling>
          <c:orientation val="minMax"/>
        </c:scaling>
        <c:delete val="0"/>
        <c:axPos val="l"/>
        <c:majorGridlines/>
        <c:numFmt formatCode="_(&quot;$&quot;* #,##0_);_(&quot;$&quot;* \(#,##0\);_(&quot;$&quot;* &quot;-&quot;_);_(@_)" sourceLinked="1"/>
        <c:majorTickMark val="out"/>
        <c:minorTickMark val="none"/>
        <c:tickLblPos val="nextTo"/>
        <c:crossAx val="200208384"/>
        <c:crosses val="autoZero"/>
        <c:crossBetween val="between"/>
      </c:valAx>
    </c:plotArea>
    <c:legend>
      <c:legendPos val="r"/>
      <c:overlay val="0"/>
    </c:legend>
    <c:plotVisOnly val="1"/>
    <c:dispBlanksAs val="gap"/>
    <c:showDLblsOverMax val="0"/>
  </c:chart>
  <c:spPr>
    <a:ln>
      <a:solidFill>
        <a:srgbClr val="4F81BD">
          <a:alpha val="0"/>
        </a:srgb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 (2)'!$B$10</c:f>
              <c:strCache>
                <c:ptCount val="1"/>
                <c:pt idx="0">
                  <c:v>2014/15 Budget</c:v>
                </c:pt>
              </c:strCache>
            </c:strRef>
          </c:tx>
          <c:dLbls>
            <c:showLegendKey val="0"/>
            <c:showVal val="1"/>
            <c:showCatName val="0"/>
            <c:showSerName val="0"/>
            <c:showPercent val="0"/>
            <c:showBubbleSize val="0"/>
            <c:showLeaderLines val="1"/>
          </c:dLbls>
          <c:cat>
            <c:strRef>
              <c:f>'Sheet1 (2)'!$A$11:$A$15</c:f>
              <c:strCache>
                <c:ptCount val="5"/>
                <c:pt idx="0">
                  <c:v>Membership</c:v>
                </c:pt>
                <c:pt idx="1">
                  <c:v>Contribtutions</c:v>
                </c:pt>
                <c:pt idx="2">
                  <c:v>Pathfinder</c:v>
                </c:pt>
                <c:pt idx="3">
                  <c:v>Office sharing</c:v>
                </c:pt>
                <c:pt idx="4">
                  <c:v>Other</c:v>
                </c:pt>
              </c:strCache>
            </c:strRef>
          </c:cat>
          <c:val>
            <c:numRef>
              <c:f>'Sheet1 (2)'!$B$11:$B$15</c:f>
              <c:numCache>
                <c:formatCode>_("$"* #,##0_);_("$"* \(#,##0\);_("$"* "-"_);_(@_)</c:formatCode>
                <c:ptCount val="5"/>
                <c:pt idx="0">
                  <c:v>6450</c:v>
                </c:pt>
                <c:pt idx="1">
                  <c:v>7305</c:v>
                </c:pt>
                <c:pt idx="2">
                  <c:v>8000</c:v>
                </c:pt>
                <c:pt idx="3">
                  <c:v>11000</c:v>
                </c:pt>
                <c:pt idx="4">
                  <c:v>2400</c:v>
                </c:pt>
              </c:numCache>
            </c:numRef>
          </c:val>
        </c:ser>
        <c:ser>
          <c:idx val="1"/>
          <c:order val="1"/>
          <c:tx>
            <c:strRef>
              <c:f>'Sheet1 (2)'!$C$10</c:f>
              <c:strCache>
                <c:ptCount val="1"/>
              </c:strCache>
            </c:strRef>
          </c:tx>
          <c:cat>
            <c:strRef>
              <c:f>'Sheet1 (2)'!$A$11:$A$15</c:f>
              <c:strCache>
                <c:ptCount val="5"/>
                <c:pt idx="0">
                  <c:v>Membership</c:v>
                </c:pt>
                <c:pt idx="1">
                  <c:v>Contribtutions</c:v>
                </c:pt>
                <c:pt idx="2">
                  <c:v>Pathfinder</c:v>
                </c:pt>
                <c:pt idx="3">
                  <c:v>Office sharing</c:v>
                </c:pt>
                <c:pt idx="4">
                  <c:v>Other</c:v>
                </c:pt>
              </c:strCache>
            </c:strRef>
          </c:cat>
          <c:val>
            <c:numRef>
              <c:f>'Sheet1 (2)'!$C$11:$C$15</c:f>
              <c:numCache>
                <c:formatCode>0%</c:formatCode>
                <c:ptCount val="5"/>
                <c:pt idx="0">
                  <c:v>0.18347319015787245</c:v>
                </c:pt>
                <c:pt idx="1">
                  <c:v>0.20779405489972994</c:v>
                </c:pt>
                <c:pt idx="2">
                  <c:v>0.22756364670743856</c:v>
                </c:pt>
                <c:pt idx="3">
                  <c:v>0.31290001422272806</c:v>
                </c:pt>
                <c:pt idx="4">
                  <c:v>6.8269094012231593E-2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spPr>
    <a:ln>
      <a:solidFill>
        <a:srgbClr val="4F81BD">
          <a:alpha val="0"/>
        </a:srgb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B5D7B-2202-4660-9F79-9365AF33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Kastelic</dc:creator>
  <cp:lastModifiedBy>LWVMT</cp:lastModifiedBy>
  <cp:revision>2</cp:revision>
  <dcterms:created xsi:type="dcterms:W3CDTF">2014-05-27T16:16:00Z</dcterms:created>
  <dcterms:modified xsi:type="dcterms:W3CDTF">2014-05-27T16:16:00Z</dcterms:modified>
</cp:coreProperties>
</file>